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</w:pPr>
      <w:r>
        <w:drawing>
          <wp:inline xmlns:a="http://schemas.openxmlformats.org/drawingml/2006/main" xmlns:pic="http://schemas.openxmlformats.org/drawingml/2006/picture">
            <wp:extent cx="796800" cy="216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_tz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96800" cy="21600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>   </w:t>
      </w:r>
      <w:r>
        <w:rPr>
          <w:rFonts w:ascii="Arial" w:hAnsi="Arial"/>
          <w:color w:val="666666"/>
          <w:sz w:val="16"/>
        </w:rPr>
        <w:t>Полігональ Сталеві Конструкції  ·  polygonal.com.ua  ·  +38 (050) 685-93-45  ·  info@polygonal.com.ua</w:t>
      </w:r>
    </w:p>
    <w:p>
      <w:pPr>
        <w:spacing w:after="0"/>
        <w:jc w:val="center"/>
      </w:pPr>
      <w:r>
        <w:rPr>
          <w:rFonts w:ascii="Arial" w:hAnsi="Arial"/>
          <w:b/>
          <w:sz w:val="26"/>
        </w:rPr>
        <w:t>ОПИТУВАЛЬНИЙ ЛИСТ</w:t>
      </w:r>
    </w:p>
    <w:p>
      <w:pPr>
        <w:spacing w:after="0"/>
        <w:jc w:val="center"/>
      </w:pPr>
      <w:r>
        <w:rPr>
          <w:rFonts w:ascii="Arial" w:hAnsi="Arial"/>
          <w:b w:val="0"/>
          <w:sz w:val="21"/>
        </w:rPr>
        <w:t>на проєктування консольної опори світлофора</w:t>
      </w:r>
    </w:p>
    <w:p>
      <w:pPr>
        <w:spacing w:before="40"/>
        <w:jc w:val="center"/>
      </w:pPr>
      <w:r>
        <w:rPr>
          <w:rFonts w:ascii="Arial" w:hAnsi="Arial"/>
          <w:i/>
          <w:color w:val="666666"/>
          <w:sz w:val="17"/>
        </w:rPr>
        <w:t>(заповнюється замовником і надсилається проєктувальнику до початку розрахунку)</w:t>
      </w:r>
    </w:p>
    <w:p>
      <w:pPr>
        <w:spacing w:after="20"/>
      </w:pPr>
    </w:p>
    <w:p>
      <w:pPr>
        <w:spacing w:after="120"/>
      </w:pPr>
      <w:r>
        <w:rPr>
          <w:rFonts w:ascii="Arial" w:hAnsi="Arial"/>
          <w:sz w:val="16"/>
        </w:rPr>
        <w:t>Будь ласка, заповніть поля нижче максимально детально. Незаповнені пункти буде прийнято за замовчуванням (див. примітки курсивом), що може призвести до неточного розрахунку або необхідності повторного запиту даних.</w:t>
      </w:r>
    </w:p>
    <w:p>
      <w:pPr>
        <w:spacing w:before="200" w:after="60"/>
      </w:pPr>
      <w:r>
        <w:rPr>
          <w:rFonts w:ascii="Arial" w:hAnsi="Arial"/>
          <w:b/>
          <w:sz w:val="21"/>
        </w:rPr>
        <w:t>1. Дані замовника та об'єкта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Організація-замовник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555555"/>
                <w:sz w:val="18"/>
              </w:rPr>
              <w:t>повна назва</w:t>
            </w:r>
          </w:p>
        </w:tc>
      </w:tr>
      <w:t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Контактна особа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555555"/>
                <w:sz w:val="18"/>
              </w:rPr>
              <w:t>ПІБ, посада</w:t>
            </w:r>
          </w:p>
        </w:tc>
      </w:tr>
      <w:tr>
        <w:trPr>
          <w:trHeight w:val="369" w:hRule="atLeast"/>
        </w:trP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Телефон / e-mail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</w:r>
          </w:p>
        </w:tc>
      </w:tr>
      <w:t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Найменування об'єкта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555555"/>
                <w:sz w:val="18"/>
              </w:rPr>
              <w:t>напр. «Перехрестя вул. ... / ...»</w:t>
            </w:r>
          </w:p>
        </w:tc>
      </w:tr>
      <w:t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Адреса / населений пункт встановлення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555555"/>
                <w:sz w:val="18"/>
              </w:rPr>
              <w:t>область, район, місто</w:t>
            </w:r>
          </w:p>
        </w:tc>
      </w:tr>
      <w:t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Кількість опор у замовленні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555555"/>
                <w:sz w:val="18"/>
              </w:rPr>
              <w:t>шт., з розбивкою за типорозмірами, якщо різні</w:t>
            </w:r>
          </w:p>
        </w:tc>
      </w:tr>
      <w:tr>
        <w:trPr>
          <w:trHeight w:val="369" w:hRule="atLeast"/>
        </w:trP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Бажаний термін постачання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</w:r>
          </w:p>
        </w:tc>
      </w:tr>
    </w:tbl>
    <w:p>
      <w:pPr>
        <w:spacing w:after="40"/>
      </w:pPr>
    </w:p>
    <w:p>
      <w:pPr>
        <w:spacing w:before="200" w:after="60"/>
      </w:pPr>
      <w:r>
        <w:rPr>
          <w:rFonts w:ascii="Arial" w:hAnsi="Arial"/>
          <w:b/>
          <w:sz w:val="21"/>
        </w:rPr>
        <w:t>2. Геометричні параметри опори</w:t>
      </w:r>
    </w:p>
    <w:p>
      <w:pPr>
        <w:spacing w:after="80"/>
      </w:pPr>
      <w:r>
        <w:rPr>
          <w:rFonts w:ascii="Arial" w:hAnsi="Arial"/>
          <w:i/>
          <w:color w:val="666666"/>
          <w:sz w:val="16"/>
        </w:rPr>
        <w:t>Якщо точна геометрія ще не визначена — вкажіть щонайменше діапазон (напр. «виліт 12–16 м») і схему перехрестя (ескіз, фото, координати) для підбору оптимальної довжини.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Висота стійки H, м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555555"/>
                <w:sz w:val="18"/>
              </w:rPr>
              <w:t>від рівня землі до осі консолі</w:t>
            </w:r>
          </w:p>
        </w:tc>
      </w:tr>
      <w:t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Виліт консолі L, м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555555"/>
                <w:sz w:val="18"/>
              </w:rPr>
              <w:t>від осі стійки до кінця консолі</w:t>
            </w:r>
          </w:p>
        </w:tc>
      </w:tr>
      <w:t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Кількість консолей на стійці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555555"/>
                <w:sz w:val="18"/>
              </w:rPr>
              <w:t>одна / дві (під яким кутом між собою)</w:t>
            </w:r>
          </w:p>
        </w:tc>
      </w:tr>
      <w:t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Висота нижньої точки консолі над проїзною частиною, м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555555"/>
                <w:sz w:val="18"/>
              </w:rPr>
              <w:t>вимога по габариту проїзду</w:t>
            </w:r>
          </w:p>
        </w:tc>
      </w:tr>
      <w:t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Форма консолі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555555"/>
                <w:sz w:val="18"/>
              </w:rPr>
              <w:t>пряма / криволінійна (радіус)</w:t>
            </w:r>
          </w:p>
        </w:tc>
      </w:tr>
      <w:t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Спосіб постачання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555555"/>
                <w:sz w:val="18"/>
              </w:rPr>
              <w:t>цільна / розбірна (секціями) — через габарити транспортування</w:t>
            </w:r>
          </w:p>
        </w:tc>
      </w:tr>
    </w:tbl>
    <w:p>
      <w:pPr>
        <w:spacing w:after="40"/>
      </w:pPr>
    </w:p>
    <w:p>
      <w:pPr>
        <w:spacing w:before="200" w:after="60"/>
      </w:pPr>
      <w:r>
        <w:rPr>
          <w:rFonts w:ascii="Arial" w:hAnsi="Arial"/>
          <w:b/>
          <w:sz w:val="21"/>
        </w:rPr>
        <w:t>3. Кліматичні умови майданчика встановлення</w:t>
      </w:r>
    </w:p>
    <w:p>
      <w:pPr>
        <w:spacing w:after="80"/>
      </w:pPr>
      <w:r>
        <w:rPr>
          <w:rFonts w:ascii="Arial" w:hAnsi="Arial"/>
          <w:i/>
          <w:color w:val="666666"/>
          <w:sz w:val="16"/>
        </w:rPr>
        <w:t>Категорія місцевості суттєво впливає на результат — різниця між категоріями I і IV дає більш ніж дворазову зміну допустимого вітрового навантаження на обладнання.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Область / район встановлення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555555"/>
                <w:sz w:val="18"/>
              </w:rPr>
              <w:t>для визначення вітрового району за ДБН В.1.2-2</w:t>
            </w:r>
          </w:p>
        </w:tc>
      </w:tr>
      <w:t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Вітровий район (якщо відомий точно)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555555"/>
                <w:sz w:val="18"/>
              </w:rPr>
              <w:t>1–5</w:t>
            </w:r>
          </w:p>
        </w:tc>
      </w:tr>
      <w:t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Категорія місцевості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555555"/>
                <w:sz w:val="18"/>
              </w:rPr>
              <w:t>I — відкрита / II — сільська / III — передмістя; промзона; лісові масиви / IV — міські території</w:t>
            </w:r>
          </w:p>
        </w:tc>
      </w:tr>
      <w:t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Кліматичне виконання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555555"/>
                <w:sz w:val="18"/>
              </w:rPr>
              <w:t>стандарт — У1 (від −40 до +40 °C), вказати інше за особливих умов</w:t>
            </w:r>
          </w:p>
        </w:tc>
      </w:tr>
      <w:t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Особливі умови майданчика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555555"/>
                <w:sz w:val="18"/>
              </w:rPr>
              <w:t>сейсмічність, агресивне середовище (промзона, узбережжя), інше</w:t>
            </w:r>
          </w:p>
        </w:tc>
      </w:tr>
    </w:tbl>
    <w:p>
      <w:pPr>
        <w:spacing w:after="40"/>
      </w:pPr>
    </w:p>
    <w:p>
      <w:pPr>
        <w:spacing w:before="200" w:after="60"/>
      </w:pPr>
      <w:r>
        <w:rPr>
          <w:rFonts w:ascii="Arial" w:hAnsi="Arial"/>
          <w:b/>
          <w:sz w:val="21"/>
        </w:rPr>
        <w:t>4. Навісне обладнання</w:t>
      </w:r>
    </w:p>
    <w:p>
      <w:pPr>
        <w:spacing w:after="80"/>
      </w:pPr>
      <w:r>
        <w:rPr>
          <w:rFonts w:ascii="Arial" w:hAnsi="Arial"/>
          <w:i/>
          <w:color w:val="666666"/>
          <w:sz w:val="16"/>
        </w:rPr>
        <w:t>Точне розташування обладнання на консолі (відстань від стійки) суттєво впливає на розрахунок — чим ближче до кінця консолі, тим більше навантаження на базу. За можливості вкажіть позицію для кожної одиниці.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682"/>
        <w:gridCol w:w="1682"/>
        <w:gridCol w:w="1682"/>
        <w:gridCol w:w="1682"/>
        <w:gridCol w:w="1682"/>
        <w:gridCol w:w="1682"/>
      </w:tblGrid>
      <w:tr>
        <w:tc>
          <w:tcPr>
            <w:tcW w:type="dxa" w:w="510"/>
            <w:shd w:val="clear" w:color="auto" w:fill="E7ECF1"/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 w:eastAsia="Arial"/>
                <w:b/>
                <w:sz w:val="17"/>
              </w:rPr>
              <w:t>№</w:t>
            </w:r>
          </w:p>
        </w:tc>
        <w:tc>
          <w:tcPr>
            <w:tcW w:type="dxa" w:w="1916"/>
            <w:shd w:val="clear" w:color="auto" w:fill="E7ECF1"/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 w:eastAsia="Arial"/>
                <w:b/>
                <w:sz w:val="17"/>
              </w:rPr>
              <w:t>Найменування обладнання</w:t>
            </w:r>
          </w:p>
        </w:tc>
        <w:tc>
          <w:tcPr>
            <w:tcW w:type="dxa" w:w="1916"/>
            <w:shd w:val="clear" w:color="auto" w:fill="E7ECF1"/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 w:eastAsia="Arial"/>
                <w:b/>
                <w:sz w:val="17"/>
              </w:rPr>
              <w:t>К-сть, шт.</w:t>
            </w:r>
          </w:p>
        </w:tc>
        <w:tc>
          <w:tcPr>
            <w:tcW w:type="dxa" w:w="1916"/>
            <w:shd w:val="clear" w:color="auto" w:fill="E7ECF1"/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 w:eastAsia="Arial"/>
                <w:b/>
                <w:sz w:val="17"/>
              </w:rPr>
              <w:t>Маса 1 од., кг</w:t>
            </w:r>
          </w:p>
        </w:tc>
        <w:tc>
          <w:tcPr>
            <w:tcW w:type="dxa" w:w="1916"/>
            <w:shd w:val="clear" w:color="auto" w:fill="E7ECF1"/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 w:eastAsia="Arial"/>
                <w:b/>
                <w:sz w:val="17"/>
              </w:rPr>
              <w:t>Габарити/площа, м²</w:t>
            </w:r>
          </w:p>
        </w:tc>
        <w:tc>
          <w:tcPr>
            <w:tcW w:type="dxa" w:w="1916"/>
            <w:shd w:val="clear" w:color="auto" w:fill="E7ECF1"/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 w:eastAsia="Arial"/>
                <w:b/>
                <w:sz w:val="17"/>
              </w:rPr>
              <w:t>Відстань від стійки, м</w:t>
            </w:r>
          </w:p>
        </w:tc>
      </w:tr>
      <w:tr>
        <w:tc>
          <w:tcPr>
            <w:tcW w:type="dxa" w:w="510"/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 w:eastAsia="Arial"/>
                <w:b w:val="0"/>
                <w:sz w:val="18"/>
              </w:rPr>
              <w:t>1</w:t>
            </w:r>
          </w:p>
        </w:tc>
        <w:tc>
          <w:tcPr>
            <w:tcW w:type="dxa" w:w="191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Світлофор 3-секційний</w:t>
            </w:r>
          </w:p>
        </w:tc>
        <w:tc>
          <w:tcPr>
            <w:tcW w:type="dxa" w:w="1916"/>
          </w:tcPr>
          <w:p/>
        </w:tc>
        <w:tc>
          <w:tcPr>
            <w:tcW w:type="dxa" w:w="1916"/>
          </w:tcPr>
          <w:p/>
        </w:tc>
        <w:tc>
          <w:tcPr>
            <w:tcW w:type="dxa" w:w="1916"/>
          </w:tcPr>
          <w:p/>
        </w:tc>
        <w:tc>
          <w:tcPr>
            <w:tcW w:type="dxa" w:w="1916"/>
          </w:tcPr>
          <w:p/>
        </w:tc>
      </w:tr>
      <w:tr>
        <w:tc>
          <w:tcPr>
            <w:tcW w:type="dxa" w:w="510"/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 w:eastAsia="Arial"/>
                <w:b w:val="0"/>
                <w:sz w:val="18"/>
              </w:rPr>
              <w:t>2</w:t>
            </w:r>
          </w:p>
        </w:tc>
        <w:tc>
          <w:tcPr>
            <w:tcW w:type="dxa" w:w="191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Світлофор пішохідний</w:t>
            </w:r>
          </w:p>
        </w:tc>
        <w:tc>
          <w:tcPr>
            <w:tcW w:type="dxa" w:w="1916"/>
          </w:tcPr>
          <w:p/>
        </w:tc>
        <w:tc>
          <w:tcPr>
            <w:tcW w:type="dxa" w:w="1916"/>
          </w:tcPr>
          <w:p/>
        </w:tc>
        <w:tc>
          <w:tcPr>
            <w:tcW w:type="dxa" w:w="1916"/>
          </w:tcPr>
          <w:p/>
        </w:tc>
        <w:tc>
          <w:tcPr>
            <w:tcW w:type="dxa" w:w="1916"/>
          </w:tcPr>
          <w:p/>
        </w:tc>
      </w:tr>
      <w:tr>
        <w:tc>
          <w:tcPr>
            <w:tcW w:type="dxa" w:w="510"/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 w:eastAsia="Arial"/>
                <w:b w:val="0"/>
                <w:sz w:val="18"/>
              </w:rPr>
              <w:t>3</w:t>
            </w:r>
          </w:p>
        </w:tc>
        <w:tc>
          <w:tcPr>
            <w:tcW w:type="dxa" w:w="191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Покажчик напрямку / дод. секція</w:t>
            </w:r>
          </w:p>
        </w:tc>
        <w:tc>
          <w:tcPr>
            <w:tcW w:type="dxa" w:w="1916"/>
          </w:tcPr>
          <w:p/>
        </w:tc>
        <w:tc>
          <w:tcPr>
            <w:tcW w:type="dxa" w:w="1916"/>
          </w:tcPr>
          <w:p/>
        </w:tc>
        <w:tc>
          <w:tcPr>
            <w:tcW w:type="dxa" w:w="1916"/>
          </w:tcPr>
          <w:p/>
        </w:tc>
        <w:tc>
          <w:tcPr>
            <w:tcW w:type="dxa" w:w="1916"/>
          </w:tcPr>
          <w:p/>
        </w:tc>
      </w:tr>
      <w:tr>
        <w:tc>
          <w:tcPr>
            <w:tcW w:type="dxa" w:w="510"/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 w:eastAsia="Arial"/>
                <w:b w:val="0"/>
                <w:sz w:val="18"/>
              </w:rPr>
              <w:t>4</w:t>
            </w:r>
          </w:p>
        </w:tc>
        <w:tc>
          <w:tcPr>
            <w:tcW w:type="dxa" w:w="191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Дорожній знак</w:t>
            </w:r>
          </w:p>
        </w:tc>
        <w:tc>
          <w:tcPr>
            <w:tcW w:type="dxa" w:w="1916"/>
          </w:tcPr>
          <w:p/>
        </w:tc>
        <w:tc>
          <w:tcPr>
            <w:tcW w:type="dxa" w:w="1916"/>
          </w:tcPr>
          <w:p/>
        </w:tc>
        <w:tc>
          <w:tcPr>
            <w:tcW w:type="dxa" w:w="1916"/>
          </w:tcPr>
          <w:p/>
        </w:tc>
        <w:tc>
          <w:tcPr>
            <w:tcW w:type="dxa" w:w="1916"/>
          </w:tcPr>
          <w:p/>
        </w:tc>
      </w:tr>
      <w:tr>
        <w:tc>
          <w:tcPr>
            <w:tcW w:type="dxa" w:w="510"/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 w:eastAsia="Arial"/>
                <w:b w:val="0"/>
                <w:sz w:val="18"/>
              </w:rPr>
              <w:t>5</w:t>
            </w:r>
          </w:p>
        </w:tc>
        <w:tc>
          <w:tcPr>
            <w:tcW w:type="dxa" w:w="191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Відеокамера / детектор</w:t>
            </w:r>
          </w:p>
        </w:tc>
        <w:tc>
          <w:tcPr>
            <w:tcW w:type="dxa" w:w="1916"/>
          </w:tcPr>
          <w:p/>
        </w:tc>
        <w:tc>
          <w:tcPr>
            <w:tcW w:type="dxa" w:w="1916"/>
          </w:tcPr>
          <w:p/>
        </w:tc>
        <w:tc>
          <w:tcPr>
            <w:tcW w:type="dxa" w:w="1916"/>
          </w:tcPr>
          <w:p/>
        </w:tc>
        <w:tc>
          <w:tcPr>
            <w:tcW w:type="dxa" w:w="1916"/>
          </w:tcPr>
          <w:p/>
        </w:tc>
      </w:tr>
      <w:tr>
        <w:tc>
          <w:tcPr>
            <w:tcW w:type="dxa" w:w="510"/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 w:eastAsia="Arial"/>
                <w:b w:val="0"/>
                <w:sz w:val="18"/>
              </w:rPr>
              <w:t>6</w:t>
            </w:r>
          </w:p>
        </w:tc>
        <w:tc>
          <w:tcPr>
            <w:tcW w:type="dxa" w:w="191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Контролер / шафа (на стійці)</w:t>
            </w:r>
          </w:p>
        </w:tc>
        <w:tc>
          <w:tcPr>
            <w:tcW w:type="dxa" w:w="1916"/>
          </w:tcPr>
          <w:p/>
        </w:tc>
        <w:tc>
          <w:tcPr>
            <w:tcW w:type="dxa" w:w="1916"/>
          </w:tcPr>
          <w:p/>
        </w:tc>
        <w:tc>
          <w:tcPr>
            <w:tcW w:type="dxa" w:w="1916"/>
          </w:tcPr>
          <w:p/>
        </w:tc>
        <w:tc>
          <w:tcPr>
            <w:tcW w:type="dxa" w:w="1916"/>
          </w:tcPr>
          <w:p/>
        </w:tc>
      </w:tr>
      <w:tr>
        <w:trPr>
          <w:trHeight w:val="369" w:hRule="atLeast"/>
        </w:trPr>
        <w:tc>
          <w:tcPr>
            <w:tcW w:type="dxa" w:w="510"/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 w:eastAsia="Arial"/>
                <w:b w:val="0"/>
                <w:sz w:val="18"/>
              </w:rPr>
              <w:t>7</w:t>
            </w:r>
          </w:p>
        </w:tc>
        <w:tc>
          <w:tcPr>
            <w:tcW w:type="dxa" w:w="191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</w:r>
          </w:p>
        </w:tc>
        <w:tc>
          <w:tcPr>
            <w:tcW w:type="dxa" w:w="1916"/>
          </w:tcPr>
          <w:p/>
        </w:tc>
        <w:tc>
          <w:tcPr>
            <w:tcW w:type="dxa" w:w="1916"/>
          </w:tcPr>
          <w:p/>
        </w:tc>
        <w:tc>
          <w:tcPr>
            <w:tcW w:type="dxa" w:w="1916"/>
          </w:tcPr>
          <w:p/>
        </w:tc>
        <w:tc>
          <w:tcPr>
            <w:tcW w:type="dxa" w:w="1916"/>
          </w:tcPr>
          <w:p/>
        </w:tc>
      </w:tr>
      <w:tr>
        <w:trPr>
          <w:trHeight w:val="369" w:hRule="atLeast"/>
        </w:trPr>
        <w:tc>
          <w:tcPr>
            <w:tcW w:type="dxa" w:w="510"/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 w:eastAsia="Arial"/>
                <w:b w:val="0"/>
                <w:sz w:val="18"/>
              </w:rPr>
              <w:t>8</w:t>
            </w:r>
          </w:p>
        </w:tc>
        <w:tc>
          <w:tcPr>
            <w:tcW w:type="dxa" w:w="191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</w:r>
          </w:p>
        </w:tc>
        <w:tc>
          <w:tcPr>
            <w:tcW w:type="dxa" w:w="1916"/>
          </w:tcPr>
          <w:p/>
        </w:tc>
        <w:tc>
          <w:tcPr>
            <w:tcW w:type="dxa" w:w="1916"/>
          </w:tcPr>
          <w:p/>
        </w:tc>
        <w:tc>
          <w:tcPr>
            <w:tcW w:type="dxa" w:w="1916"/>
          </w:tcPr>
          <w:p/>
        </w:tc>
        <w:tc>
          <w:tcPr>
            <w:tcW w:type="dxa" w:w="1916"/>
          </w:tcPr>
          <w:p/>
        </w:tc>
      </w:tr>
    </w:tbl>
    <w:p>
      <w:pPr>
        <w:spacing w:after="40"/>
      </w:pPr>
    </w:p>
    <w:p>
      <w:pPr>
        <w:spacing w:after="160" w:before="40"/>
      </w:pPr>
      <w:r>
        <w:rPr>
          <w:rFonts w:ascii="Arial" w:hAnsi="Arial"/>
          <w:b/>
          <w:sz w:val="18"/>
        </w:rPr>
        <w:t xml:space="preserve">Задній щит світлофора:  </w:t>
      </w:r>
      <w:r>
        <w:rPr>
          <w:rFonts w:ascii="Arial" w:hAnsi="Arial"/>
          <w:sz w:val="18"/>
        </w:rPr>
        <w:t xml:space="preserve">☐ не встановлюється        </w:t>
      </w:r>
      <w:r>
        <w:rPr>
          <w:rFonts w:ascii="Arial" w:hAnsi="Arial"/>
          <w:sz w:val="18"/>
        </w:rPr>
        <w:t xml:space="preserve">☐ суцільний        </w:t>
      </w:r>
      <w:r>
        <w:rPr>
          <w:rFonts w:ascii="Arial" w:hAnsi="Arial"/>
          <w:sz w:val="18"/>
        </w:rPr>
        <w:t xml:space="preserve">☐ жалюзійний (рекомендується при 5 вітровому районі)        </w:t>
      </w:r>
    </w:p>
    <w:p>
      <w:pPr>
        <w:spacing w:before="200" w:after="60"/>
      </w:pPr>
      <w:r>
        <w:rPr>
          <w:rFonts w:ascii="Arial" w:hAnsi="Arial"/>
          <w:b/>
          <w:sz w:val="21"/>
        </w:rPr>
        <w:t>5. Основа та ґрунтові умови</w:t>
      </w:r>
    </w:p>
    <w:p>
      <w:pPr>
        <w:spacing w:after="80"/>
      </w:pPr>
      <w:r>
        <w:rPr>
          <w:rFonts w:ascii="Arial" w:hAnsi="Arial"/>
          <w:i/>
          <w:color w:val="666666"/>
          <w:sz w:val="16"/>
        </w:rPr>
        <w:t>За відсутності геологічних вишукувань розрахунок фундаменту буде виконано за консервативними (усередненими) характеристиками ґрунту з відповідною позначкою в розрахунковій записці.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Інженерно-геологічні вишукування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555555"/>
                <w:sz w:val="18"/>
              </w:rPr>
              <w:t>додані окремим файлом / відсутні</w:t>
            </w:r>
          </w:p>
        </w:tc>
      </w:tr>
      <w:t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Тип ґрунту (якщо відомий)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555555"/>
                <w:sz w:val="18"/>
              </w:rPr>
              <w:t>зв'язний (глина) / незв'язний (пісок, гравій) / інше</w:t>
            </w:r>
          </w:p>
        </w:tc>
      </w:tr>
      <w:tr>
        <w:trPr>
          <w:trHeight w:val="369" w:hRule="atLeast"/>
        </w:trP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Рівень ґрунтових вод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</w:r>
          </w:p>
        </w:tc>
      </w:tr>
      <w:t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Підземні комунікації в зоні фундаменту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555555"/>
                <w:sz w:val="18"/>
              </w:rPr>
              <w:t>кабелі, трубопроводи — вказати за наявності</w:t>
            </w:r>
          </w:p>
        </w:tc>
      </w:tr>
      <w:t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Допустимий тип фундаменту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555555"/>
                <w:sz w:val="18"/>
              </w:rPr>
              <w:t>буронабивна паля / стаканний фундамент / інше (за вимогою замовника)</w:t>
            </w:r>
          </w:p>
        </w:tc>
      </w:tr>
    </w:tbl>
    <w:p>
      <w:pPr>
        <w:spacing w:after="40"/>
      </w:pPr>
    </w:p>
    <w:p>
      <w:pPr>
        <w:spacing w:before="200" w:after="60"/>
      </w:pPr>
      <w:r>
        <w:rPr>
          <w:rFonts w:ascii="Arial" w:hAnsi="Arial"/>
          <w:b/>
          <w:sz w:val="21"/>
        </w:rPr>
        <w:t>6. Нормативні вимоги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Норми проєктування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555555"/>
                <w:sz w:val="18"/>
              </w:rPr>
              <w:t>ДБН В.1.2-2:2006, ДБН В.2.6-198:2014 (за замовчуванням) / Eurocode / AASHTO / інше</w:t>
            </w:r>
          </w:p>
        </w:tc>
      </w:tr>
      <w:t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Розрахунковий строк служби, років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555555"/>
                <w:sz w:val="18"/>
              </w:rPr>
              <w:t>за замовчуванням — 40</w:t>
            </w:r>
          </w:p>
        </w:tc>
      </w:tr>
      <w:t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Категорія важливості об'єкта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555555"/>
                <w:sz w:val="18"/>
              </w:rPr>
              <w:t>якщо визначена замовником заздалегідь</w:t>
            </w:r>
          </w:p>
        </w:tc>
      </w:tr>
    </w:tbl>
    <w:p>
      <w:pPr>
        <w:spacing w:after="40"/>
      </w:pPr>
    </w:p>
    <w:p>
      <w:pPr>
        <w:spacing w:after="160" w:before="40"/>
      </w:pPr>
      <w:r>
        <w:rPr>
          <w:rFonts w:ascii="Arial" w:hAnsi="Arial"/>
          <w:b/>
          <w:sz w:val="18"/>
        </w:rPr>
        <w:t xml:space="preserve">Чи потрібен пристрій гасіння коливань (демпфер / wing plate)?  </w:t>
      </w:r>
      <w:r>
        <w:rPr>
          <w:rFonts w:ascii="Arial" w:hAnsi="Arial"/>
          <w:sz w:val="18"/>
        </w:rPr>
        <w:t xml:space="preserve">☐ не потрібен        </w:t>
      </w:r>
      <w:r>
        <w:rPr>
          <w:rFonts w:ascii="Arial" w:hAnsi="Arial"/>
          <w:sz w:val="18"/>
        </w:rPr>
        <w:t xml:space="preserve">☐ потрібен        </w:t>
      </w:r>
      <w:r>
        <w:rPr>
          <w:rFonts w:ascii="Arial" w:hAnsi="Arial"/>
          <w:sz w:val="18"/>
        </w:rPr>
        <w:t xml:space="preserve">☐ на розсуд проєктувальника за результатами розрахунку        </w:t>
      </w:r>
    </w:p>
    <w:p>
      <w:pPr>
        <w:spacing w:before="200" w:after="60"/>
      </w:pPr>
      <w:r>
        <w:rPr>
          <w:rFonts w:ascii="Arial" w:hAnsi="Arial"/>
          <w:b/>
          <w:sz w:val="21"/>
        </w:rPr>
        <w:t>7. Покриття та зовнішній вигляд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Антикорозійне покриття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555555"/>
                <w:sz w:val="18"/>
              </w:rPr>
              <w:t>гаряче цинкування (за замовчуванням) / інше</w:t>
            </w:r>
          </w:p>
        </w:tc>
      </w:tr>
      <w:t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Фарбування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555555"/>
                <w:sz w:val="18"/>
              </w:rPr>
              <w:t>немає / колір за RAL (вказати код)</w:t>
            </w:r>
          </w:p>
        </w:tc>
      </w:tr>
      <w:t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Маркування / логотип замовника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555555"/>
                <w:sz w:val="18"/>
              </w:rPr>
              <w:t>за наявності вимог</w:t>
            </w:r>
          </w:p>
        </w:tc>
      </w:tr>
    </w:tbl>
    <w:p>
      <w:pPr>
        <w:spacing w:after="40"/>
      </w:pPr>
    </w:p>
    <w:p>
      <w:pPr>
        <w:spacing w:before="200" w:after="60"/>
      </w:pPr>
      <w:r>
        <w:rPr>
          <w:rFonts w:ascii="Arial" w:hAnsi="Arial"/>
          <w:b/>
          <w:sz w:val="21"/>
        </w:rPr>
        <w:t>8. Електротехнічна частина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6"/>
        <w:gridCol w:w="5046"/>
      </w:tblGrid>
      <w:tr>
        <w:trPr>
          <w:trHeight w:val="369" w:hRule="atLeast"/>
        </w:trP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Кількість і діаметр кабельних вводів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</w:r>
          </w:p>
        </w:tc>
      </w:tr>
      <w:t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Вимоги до заземлення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555555"/>
                <w:sz w:val="18"/>
              </w:rPr>
              <w:t>за замовчуванням — згідно з ПУЕ / інше</w:t>
            </w:r>
          </w:p>
        </w:tc>
      </w:tr>
      <w:t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Розташування шафи керування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555555"/>
                <w:sz w:val="18"/>
              </w:rPr>
              <w:t>на стійці / окремо розташована</w:t>
            </w:r>
          </w:p>
        </w:tc>
      </w:tr>
    </w:tbl>
    <w:p>
      <w:pPr>
        <w:spacing w:after="40"/>
      </w:pPr>
    </w:p>
    <w:p>
      <w:pPr>
        <w:spacing w:before="160"/>
      </w:pPr>
      <w:r>
        <w:rPr>
          <w:rFonts w:ascii="Arial" w:hAnsi="Arial"/>
          <w:sz w:val="18"/>
        </w:rPr>
        <w:t>Заповнений опитувальний лист надішліть на адресу проєктувальника. За недостатності вихідних даних розрахунок буде виконано на основі консервативних припущень з явним зазначенням усіх прийнятих припущень у розрахунковій записці.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504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Заповнив (ПІБ, посада):  ____________________________</w:t>
            </w:r>
          </w:p>
        </w:tc>
        <w:tc>
          <w:tcPr>
            <w:tcW w:type="dxa" w:w="504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Дата:  ____________________________</w:t>
            </w:r>
          </w:p>
        </w:tc>
      </w:tr>
      <w:tr>
        <w:tc>
          <w:tcPr>
            <w:tcW w:type="dxa" w:w="504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Підпис:  ____________________________</w:t>
            </w:r>
          </w:p>
        </w:tc>
        <w:tc>
          <w:tcPr>
            <w:tcW w:type="dxa" w:w="504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</w:r>
          </w:p>
        </w:tc>
      </w:tr>
    </w:tbl>
    <w:p>
      <w:pPr>
        <w:spacing w:before="200"/>
      </w:pPr>
      <w:r>
        <w:rPr>
          <w:rFonts w:ascii="Arial" w:hAnsi="Arial"/>
          <w:i/>
          <w:color w:val="666666"/>
          <w:sz w:val="16"/>
        </w:rPr>
        <w:t>Заповнений бланк надсилайте на info@polygonal.com.ua</w:t>
      </w:r>
    </w:p>
    <w:sectPr w:rsidR="00FC693F" w:rsidRPr="0006063C" w:rsidSect="00034616">
      <w:pgSz w:w="11906" w:h="16838"/>
      <w:pgMar w:top="794" w:right="907" w:bottom="737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