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Полигональ Стальные Конструкции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ОПРОСНЫЙ ЛИСТ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проектирование консольной опоры светофора</w:t>
      </w:r>
    </w:p>
    <w:p>
      <w:pPr>
        <w:spacing w:before="40"/>
        <w:jc w:val="center"/>
      </w:pPr>
      <w:r>
        <w:rPr>
          <w:rFonts w:ascii="Arial" w:hAnsi="Arial"/>
          <w:i/>
          <w:color w:val="666666"/>
          <w:sz w:val="17"/>
        </w:rPr>
        <w:t>(заполняется заказчиком и направляется проектировщику до начала расчёта)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Пожалуйста, заполните поля ниже максимально подробно. Незаполненные пункты будут приняты по умолчанию (см. примечания курсивом), что может привести к неточному расчёту или необходимости повторного запроса данных.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Данные заказчика и объекта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Организация-заказчик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полное название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Контактное лицо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ФИО, должность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Наименование объекта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«Перекрёсток 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/ населённый пункт установки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город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опор в заказе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с разбивкой по типоразмерам, если разные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Желаемый срок поставки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Геометрические параметры опоры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Если точная геометрия ещё не определена — укажите хотя бы диапазон (напр. «вылет 12–16 м») и схему перекрёстка (эскиз, фото, координаты) для подбора оптимальной длины.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стойки H,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от уровня земли до оси консоли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Вылет консоли L,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от оси стойки до конца консоли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консолей на стойке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одна / две (под каким углом друг к другу)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нижней точки консоли над проезжей частью,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требование по габариту проезда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Форма консоли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прямая / криволинейная (радиус)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Способ поставки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цельная / разборная (секциями) — из-за габаритов транспортировки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Климатические условия площадки установки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Категория местности существенно влияет на результат — разница между категориями I и IV даёт более чем двукратное изменение допустимой ветровой нагрузки на оборудование.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Область / район установки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для определения ветрового района по ДБН В.1.2-2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Ветровой район (если точно известен)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1–5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Категория местности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I — открытая / II — сельская / III — предместье; промзона; лесные массивы / IV — городские территории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Климатическое исполнение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стандарт — У1 (от −40 до +40 °C), указать иное при особых условиях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Особые условия площадки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сейсмичность, агрессивная среда (промзона, побережье), иное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Навесное оборудование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Точное расположение оборудования на консоли (расстояние от стойки) существенно влияет на расчёт — чем ближе к концу консоли, тем больше нагрузка на базу. По возможности укажите позицию для каждой единицы.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10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№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Наименование оборудования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К-во, шт.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Масса 1 ед., кг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Габариты/площадь, м²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Расстояние от стойки, м</w:t>
            </w:r>
          </w:p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1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Светофор 3-секционный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2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Светофор пешеходный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3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Указатель направления / доп. секция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4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Дорожный знак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5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Видеокамера / детектор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6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Контроллер / шкаф (на стойке)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rPr>
          <w:trHeight w:val="369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7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rPr>
          <w:trHeight w:val="369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8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Задний щит светофора:  </w:t>
      </w:r>
      <w:r>
        <w:rPr>
          <w:rFonts w:ascii="Arial" w:hAnsi="Arial"/>
          <w:sz w:val="18"/>
        </w:rPr>
        <w:t xml:space="preserve">☐ не устанавливается        </w:t>
      </w:r>
      <w:r>
        <w:rPr>
          <w:rFonts w:ascii="Arial" w:hAnsi="Arial"/>
          <w:sz w:val="18"/>
        </w:rPr>
        <w:t xml:space="preserve">☐ сплошной        </w:t>
      </w:r>
      <w:r>
        <w:rPr>
          <w:rFonts w:ascii="Arial" w:hAnsi="Arial"/>
          <w:sz w:val="18"/>
        </w:rPr>
        <w:t xml:space="preserve">☐ жалюзийный (рекомендуется при 5 ветровом районе)        </w:t>
      </w:r>
    </w:p>
    <w:p>
      <w:pPr>
        <w:spacing w:before="200" w:after="60"/>
      </w:pPr>
      <w:r>
        <w:rPr>
          <w:rFonts w:ascii="Arial" w:hAnsi="Arial"/>
          <w:b/>
          <w:sz w:val="21"/>
        </w:rPr>
        <w:t>5. Основание и грунтовые условия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При отсутствии геологических изысканий расчёт фундамента будет выполнен по консервативным (усреднённым) характеристикам грунта с соответствующей отметкой в расчётной записке.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Инженерно-геологические изыскания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приложены отдельным файлом / отсутствуют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грунта (если известен)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связный (глина) / несвязный (песок, гравий) / иное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Уровень грунтовых вод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Подземные коммуникации в зоне фундамента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кабели, трубопроводы — указать при наличии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Допустимый тип фундамента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буронабивная свая / стаканный фундамент / иное (по требованию заказчика)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Нормативные требования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Нормы проектирования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ДБН В.1.2-2:2006, ДБН В.2.6-198:2014 (по умолчанию) / Eurocode / AASHTO / иное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Расчётный срок службы, лет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 умолчанию — 40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Категория ответственности объекта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если определена заказчиком заранее</w:t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Нужно ли устройство гашения колебаний (демпфер / wing plate)?  </w:t>
      </w:r>
      <w:r>
        <w:rPr>
          <w:rFonts w:ascii="Arial" w:hAnsi="Arial"/>
          <w:sz w:val="18"/>
        </w:rPr>
        <w:t xml:space="preserve">☐ не нужен        </w:t>
      </w:r>
      <w:r>
        <w:rPr>
          <w:rFonts w:ascii="Arial" w:hAnsi="Arial"/>
          <w:sz w:val="18"/>
        </w:rPr>
        <w:t xml:space="preserve">☐ нужен        </w:t>
      </w:r>
      <w:r>
        <w:rPr>
          <w:rFonts w:ascii="Arial" w:hAnsi="Arial"/>
          <w:sz w:val="18"/>
        </w:rPr>
        <w:t xml:space="preserve">☐ на усмотрение проектировщика по результатам расчёта        </w:t>
      </w:r>
    </w:p>
    <w:p>
      <w:pPr>
        <w:spacing w:before="200" w:after="60"/>
      </w:pPr>
      <w:r>
        <w:rPr>
          <w:rFonts w:ascii="Arial" w:hAnsi="Arial"/>
          <w:b/>
          <w:sz w:val="21"/>
        </w:rPr>
        <w:t>7. Покрытие и внешний вид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Антикоррозионное покрытие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горячее цинкование (по умолчанию) / иное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Окраска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нет / цвет по RAL (указать код)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Маркировка / логотип заказчика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при наличии требований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8. Электротехническая часть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и диаметр кабельных вводов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Требования к заземлению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 умолчанию — согласно ПУЭ / иное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Расположение шкафа управления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 стойке / отдельно расположенный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Заполненный опросный лист отправьте на адрес проектировщика. При недостаточности исходных данных расчёт будет выполнен на основе консервативных предположений с явным указанием всех принятых предположений в расчётной записке.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Заполнил (ФИО, должность):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Подпись: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Заполненный бланк отправляйте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